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国标黑体" w:hAnsi="国标黑体" w:eastAsia="国标黑体" w:cs="国标黑体"/>
          <w:lang w:val="en-US" w:eastAsia="zh-CN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等原件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本人参加2025年泉州经济技术开发区公办学校公开招聘编制内新任教师考试，报考岗位：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初中语文教师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如高中语文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泉州经济技术开发区社会事业局教育科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7AF425D"/>
    <w:rsid w:val="B7BA074B"/>
    <w:rsid w:val="F7AD82C3"/>
    <w:rsid w:val="FC5F1E00"/>
    <w:rsid w:val="FFEE1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TotalTime>0</TotalTime>
  <ScaleCrop>false</ScaleCrop>
  <LinksUpToDate>false</LinksUpToDate>
  <CharactersWithSpaces>0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2020-09-09T17:46:00Z</dcterms:created>
  <dc:creator>PC</dc:creator>
  <cp:lastModifiedBy>greatwall</cp:lastModifiedBy>
  <cp:lastPrinted>2022-11-29T19:46:00Z</cp:lastPrinted>
  <dcterms:modified xsi:type="dcterms:W3CDTF">2025-04-24T15:44:31Z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D6403F2ED6564547BE4C15EDC524D26F_13</vt:lpwstr>
  </property>
</Properties>
</file>