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napToGrid/>
        <w:jc w:val="center"/>
        <w:textAlignment w:val="auto"/>
        <w:rPr>
          <w:rFonts w:hint="eastAsia"/>
          <w:b/>
          <w:bCs/>
          <w:sz w:val="44"/>
          <w:szCs w:val="44"/>
          <w:lang w:val="en-US" w:eastAsia="zh-CN"/>
        </w:rPr>
      </w:pPr>
    </w:p>
    <w:p>
      <w:pPr>
        <w:keepNext w:val="0"/>
        <w:keepLines w:val="0"/>
        <w:pageBreakBefore w:val="0"/>
        <w:widowControl w:val="0"/>
        <w:kinsoku/>
        <w:overflowPunct/>
        <w:topLinePunct w:val="0"/>
        <w:autoSpaceDE/>
        <w:autoSpaceDN/>
        <w:bidi w:val="0"/>
        <w:adjustRightInd/>
        <w:snapToGrid/>
        <w:jc w:val="center"/>
        <w:textAlignment w:val="auto"/>
        <w:rPr>
          <w:rFonts w:hint="eastAsia"/>
          <w:b/>
          <w:bCs/>
          <w:sz w:val="44"/>
          <w:szCs w:val="44"/>
          <w:lang w:val="en-US" w:eastAsia="zh-CN"/>
        </w:rPr>
      </w:pPr>
      <w:r>
        <w:rPr>
          <w:rFonts w:hint="eastAsia"/>
          <w:b/>
          <w:bCs/>
          <w:sz w:val="44"/>
          <w:szCs w:val="44"/>
          <w:lang w:val="en-US" w:eastAsia="zh-CN"/>
        </w:rPr>
        <w:t>规 划 说 明</w:t>
      </w:r>
    </w:p>
    <w:p>
      <w:pPr>
        <w:keepNext w:val="0"/>
        <w:keepLines w:val="0"/>
        <w:pageBreakBefore w:val="0"/>
        <w:widowControl w:val="0"/>
        <w:shd w:val="clear" w:color="auto" w:fill="FFFFFF"/>
        <w:kinsoku/>
        <w:wordWrap w:val="0"/>
        <w:overflowPunct/>
        <w:topLinePunct w:val="0"/>
        <w:autoSpaceDE/>
        <w:autoSpaceDN/>
        <w:bidi w:val="0"/>
        <w:adjustRightInd/>
        <w:snapToGrid/>
        <w:ind w:firstLine="640" w:firstLineChars="200"/>
        <w:jc w:val="left"/>
        <w:textAlignment w:val="auto"/>
        <w:rPr>
          <w:rFonts w:hint="eastAsia" w:ascii="黑体" w:hAnsi="黑体" w:eastAsia="黑体" w:cs="宋体"/>
          <w:color w:val="000000"/>
          <w:kern w:val="0"/>
          <w:sz w:val="32"/>
          <w:szCs w:val="32"/>
        </w:rPr>
      </w:pPr>
    </w:p>
    <w:p>
      <w:pPr>
        <w:keepNext w:val="0"/>
        <w:keepLines w:val="0"/>
        <w:pageBreakBefore w:val="0"/>
        <w:widowControl w:val="0"/>
        <w:shd w:val="clear" w:color="auto" w:fill="FFFFFF"/>
        <w:kinsoku/>
        <w:wordWrap w:val="0"/>
        <w:overflowPunct/>
        <w:topLinePunct w:val="0"/>
        <w:autoSpaceDE/>
        <w:autoSpaceDN/>
        <w:bidi w:val="0"/>
        <w:adjustRightInd/>
        <w:snapToGrid/>
        <w:spacing w:line="540" w:lineRule="exact"/>
        <w:ind w:firstLine="640" w:firstLineChars="200"/>
        <w:jc w:val="left"/>
        <w:textAlignment w:val="auto"/>
        <w:rPr>
          <w:rFonts w:ascii="微软雅黑" w:hAnsi="微软雅黑" w:eastAsia="微软雅黑" w:cs="宋体"/>
          <w:color w:val="000000"/>
          <w:kern w:val="0"/>
          <w:sz w:val="27"/>
          <w:szCs w:val="27"/>
        </w:rPr>
      </w:pPr>
      <w:r>
        <w:rPr>
          <w:rFonts w:hint="eastAsia" w:ascii="黑体" w:hAnsi="黑体" w:eastAsia="黑体" w:cs="宋体"/>
          <w:color w:val="000000"/>
          <w:kern w:val="0"/>
          <w:sz w:val="32"/>
          <w:szCs w:val="32"/>
        </w:rPr>
        <w:t>一、项目背景</w:t>
      </w:r>
    </w:p>
    <w:p>
      <w:pPr>
        <w:keepNext w:val="0"/>
        <w:keepLines w:val="0"/>
        <w:pageBreakBefore w:val="0"/>
        <w:widowControl w:val="0"/>
        <w:shd w:val="clear" w:color="auto" w:fill="FFFFFF"/>
        <w:kinsoku/>
        <w:wordWrap w:val="0"/>
        <w:overflowPunct/>
        <w:topLinePunct w:val="0"/>
        <w:autoSpaceDE/>
        <w:autoSpaceDN/>
        <w:bidi w:val="0"/>
        <w:adjustRightInd/>
        <w:snapToGrid/>
        <w:spacing w:line="540" w:lineRule="exact"/>
        <w:ind w:firstLine="640" w:firstLineChars="200"/>
        <w:jc w:val="left"/>
        <w:textAlignment w:val="auto"/>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依据《中华人民共和国城乡规划法》、</w:t>
      </w:r>
      <w:r>
        <w:rPr>
          <w:rFonts w:ascii="仿宋_GB2312" w:hAnsi="微软雅黑" w:eastAsia="仿宋_GB2312" w:cs="宋体"/>
          <w:color w:val="000000"/>
          <w:kern w:val="0"/>
          <w:sz w:val="32"/>
          <w:szCs w:val="32"/>
        </w:rPr>
        <w:t>市委市政府关于</w:t>
      </w:r>
      <w:r>
        <w:rPr>
          <w:rFonts w:hint="eastAsia" w:ascii="仿宋_GB2312" w:hAnsi="微软雅黑" w:eastAsia="仿宋_GB2312" w:cs="宋体"/>
          <w:color w:val="000000"/>
          <w:kern w:val="0"/>
          <w:sz w:val="32"/>
          <w:szCs w:val="32"/>
        </w:rPr>
        <w:t>《泉州经济技术开发区管理委员会关于开展泉州开发区清濛园区单元控规局部调整的请示》（泉开管[</w:t>
      </w:r>
      <w:r>
        <w:rPr>
          <w:rFonts w:ascii="仿宋_GB2312" w:hAnsi="微软雅黑" w:eastAsia="仿宋_GB2312" w:cs="宋体"/>
          <w:color w:val="000000"/>
          <w:kern w:val="0"/>
          <w:sz w:val="32"/>
          <w:szCs w:val="32"/>
        </w:rPr>
        <w:t>2020]39号</w:t>
      </w:r>
      <w:r>
        <w:rPr>
          <w:rFonts w:hint="eastAsia" w:ascii="仿宋_GB2312" w:hAnsi="微软雅黑" w:eastAsia="仿宋_GB2312" w:cs="宋体"/>
          <w:color w:val="000000"/>
          <w:kern w:val="0"/>
          <w:sz w:val="32"/>
          <w:szCs w:val="32"/>
        </w:rPr>
        <w:t>）的批示精神，依据《福建省城市控制性详细规划管理暂行办法》</w:t>
      </w:r>
      <w:r>
        <w:rPr>
          <w:rFonts w:hint="eastAsia" w:ascii="仿宋_GB2312" w:hAnsi="微软雅黑" w:eastAsia="仿宋_GB2312" w:cs="宋体"/>
          <w:color w:val="000000"/>
          <w:kern w:val="0"/>
          <w:sz w:val="32"/>
          <w:szCs w:val="32"/>
          <w:lang w:eastAsia="zh-CN"/>
        </w:rPr>
        <w:t>、</w:t>
      </w:r>
      <w:r>
        <w:rPr>
          <w:rFonts w:hint="eastAsia" w:ascii="仿宋_GB2312" w:hAnsi="微软雅黑" w:eastAsia="仿宋_GB2312" w:cs="宋体"/>
          <w:color w:val="000000"/>
          <w:kern w:val="0"/>
          <w:sz w:val="32"/>
          <w:szCs w:val="32"/>
        </w:rPr>
        <w:t>《泉州经济技术开发区清濛园区单元控制性详细规划整体单元规划评估》</w:t>
      </w:r>
      <w:r>
        <w:rPr>
          <w:rFonts w:hint="eastAsia" w:ascii="仿宋_GB2312" w:hAnsi="微软雅黑" w:eastAsia="仿宋_GB2312" w:cs="宋体"/>
          <w:color w:val="000000"/>
          <w:kern w:val="0"/>
          <w:sz w:val="32"/>
          <w:szCs w:val="32"/>
          <w:lang w:val="en-US" w:eastAsia="zh-CN"/>
        </w:rPr>
        <w:t>及</w:t>
      </w:r>
      <w:r>
        <w:rPr>
          <w:rFonts w:hint="eastAsia" w:ascii="仿宋_GB2312" w:hAnsi="微软雅黑" w:eastAsia="仿宋_GB2312" w:cs="宋体"/>
          <w:color w:val="000000"/>
          <w:kern w:val="0"/>
          <w:sz w:val="32"/>
          <w:szCs w:val="32"/>
        </w:rPr>
        <w:t>《泉州经济技术开发区清濛园区单元控制性详细规划</w:t>
      </w:r>
      <w:r>
        <w:rPr>
          <w:rFonts w:hint="eastAsia" w:ascii="仿宋_GB2312" w:hAnsi="微软雅黑" w:eastAsia="仿宋_GB2312" w:cs="宋体"/>
          <w:color w:val="000000"/>
          <w:kern w:val="0"/>
          <w:sz w:val="32"/>
          <w:szCs w:val="32"/>
          <w:lang w:val="en-US" w:eastAsia="zh-CN"/>
        </w:rPr>
        <w:t>动态维护</w:t>
      </w:r>
      <w:r>
        <w:rPr>
          <w:rFonts w:hint="eastAsia" w:ascii="仿宋_GB2312" w:hAnsi="微软雅黑" w:eastAsia="仿宋_GB2312" w:cs="宋体"/>
          <w:color w:val="000000"/>
          <w:kern w:val="0"/>
          <w:sz w:val="32"/>
          <w:szCs w:val="32"/>
        </w:rPr>
        <w:t>》的评估</w:t>
      </w:r>
      <w:r>
        <w:rPr>
          <w:rFonts w:hint="eastAsia" w:ascii="仿宋_GB2312" w:hAnsi="微软雅黑" w:eastAsia="仿宋_GB2312" w:cs="宋体"/>
          <w:color w:val="000000"/>
          <w:kern w:val="0"/>
          <w:sz w:val="32"/>
          <w:szCs w:val="32"/>
          <w:lang w:val="en-US" w:eastAsia="zh-CN"/>
        </w:rPr>
        <w:t>维护</w:t>
      </w:r>
      <w:r>
        <w:rPr>
          <w:rFonts w:hint="eastAsia" w:ascii="仿宋_GB2312" w:hAnsi="微软雅黑" w:eastAsia="仿宋_GB2312" w:cs="宋体"/>
          <w:color w:val="000000"/>
          <w:kern w:val="0"/>
          <w:sz w:val="32"/>
          <w:szCs w:val="32"/>
        </w:rPr>
        <w:t>结论，按程序开展</w:t>
      </w:r>
      <w:r>
        <w:rPr>
          <w:rFonts w:hint="eastAsia" w:ascii="仿宋_GB2312" w:hAnsi="微软雅黑" w:eastAsia="仿宋_GB2312" w:cs="宋体"/>
          <w:color w:val="000000"/>
          <w:kern w:val="0"/>
          <w:sz w:val="32"/>
          <w:szCs w:val="32"/>
          <w:lang w:val="en-US" w:eastAsia="zh-CN"/>
        </w:rPr>
        <w:t>泉州经济技术开发区清濛园区控规C5-11、F2-11，D2-11等地块调整论证等地块控规调整论</w:t>
      </w:r>
      <w:r>
        <w:rPr>
          <w:rFonts w:hint="eastAsia" w:ascii="仿宋_GB2312" w:hAnsi="微软雅黑" w:eastAsia="仿宋_GB2312" w:cs="宋体"/>
          <w:color w:val="000000"/>
          <w:kern w:val="0"/>
          <w:sz w:val="32"/>
          <w:szCs w:val="32"/>
        </w:rPr>
        <w:t>的编制工作。</w:t>
      </w:r>
    </w:p>
    <w:p>
      <w:pPr>
        <w:keepNext w:val="0"/>
        <w:keepLines w:val="0"/>
        <w:pageBreakBefore w:val="0"/>
        <w:widowControl w:val="0"/>
        <w:shd w:val="clear" w:color="auto" w:fill="FFFFFF"/>
        <w:kinsoku/>
        <w:wordWrap w:val="0"/>
        <w:overflowPunct/>
        <w:topLinePunct w:val="0"/>
        <w:autoSpaceDE/>
        <w:autoSpaceDN/>
        <w:bidi w:val="0"/>
        <w:adjustRightInd/>
        <w:snapToGrid/>
        <w:spacing w:line="540" w:lineRule="exact"/>
        <w:ind w:firstLine="640" w:firstLineChars="200"/>
        <w:jc w:val="left"/>
        <w:textAlignment w:val="auto"/>
        <w:rPr>
          <w:rFonts w:ascii="微软雅黑" w:hAnsi="微软雅黑" w:eastAsia="微软雅黑" w:cs="宋体"/>
          <w:color w:val="000000"/>
          <w:kern w:val="0"/>
          <w:sz w:val="27"/>
          <w:szCs w:val="27"/>
        </w:rPr>
      </w:pPr>
      <w:r>
        <w:rPr>
          <w:rFonts w:hint="eastAsia" w:ascii="黑体" w:hAnsi="黑体" w:eastAsia="黑体" w:cs="宋体"/>
          <w:color w:val="000000"/>
          <w:kern w:val="0"/>
          <w:sz w:val="32"/>
          <w:szCs w:val="32"/>
        </w:rPr>
        <w:t>二、项目概况</w:t>
      </w:r>
    </w:p>
    <w:p>
      <w:pPr>
        <w:keepNext w:val="0"/>
        <w:keepLines w:val="0"/>
        <w:pageBreakBefore w:val="0"/>
        <w:widowControl w:val="0"/>
        <w:shd w:val="clear" w:color="auto" w:fill="FFFFFF"/>
        <w:kinsoku/>
        <w:wordWrap w:val="0"/>
        <w:overflowPunct/>
        <w:topLinePunct w:val="0"/>
        <w:autoSpaceDE/>
        <w:autoSpaceDN/>
        <w:bidi w:val="0"/>
        <w:adjustRightInd/>
        <w:snapToGrid/>
        <w:spacing w:line="540" w:lineRule="exact"/>
        <w:ind w:firstLine="640"/>
        <w:jc w:val="left"/>
        <w:textAlignment w:val="auto"/>
        <w:rPr>
          <w:rFonts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lang w:val="en-US" w:eastAsia="zh-CN"/>
        </w:rPr>
        <w:t>泉州经济技术开发区清濛园区控规C5-11、F2-11，D2-11等地块控规调整论</w:t>
      </w:r>
      <w:r>
        <w:rPr>
          <w:rFonts w:hint="eastAsia" w:ascii="仿宋_GB2312" w:hAnsi="微软雅黑" w:eastAsia="仿宋_GB2312" w:cs="宋体"/>
          <w:color w:val="000000"/>
          <w:kern w:val="0"/>
          <w:sz w:val="32"/>
          <w:szCs w:val="32"/>
        </w:rPr>
        <w:t>主要是对原控规进行的局部技术性的优化调整，根据园区用地开发建设和产业发展需要，适当提升工业用地比例，强化工业底色，</w:t>
      </w:r>
      <w:r>
        <w:rPr>
          <w:rFonts w:hint="eastAsia" w:ascii="仿宋_GB2312" w:hAnsi="微软雅黑" w:eastAsia="仿宋_GB2312" w:cs="宋体"/>
          <w:color w:val="000000"/>
          <w:kern w:val="0"/>
          <w:sz w:val="32"/>
          <w:szCs w:val="32"/>
          <w:lang w:val="en-US" w:eastAsia="zh-CN"/>
        </w:rPr>
        <w:t>提高产业用地利用效率和工业用地比例</w:t>
      </w:r>
      <w:r>
        <w:rPr>
          <w:rFonts w:hint="eastAsia" w:ascii="仿宋_GB2312" w:hAnsi="微软雅黑" w:eastAsia="仿宋_GB2312" w:cs="宋体"/>
          <w:color w:val="000000"/>
          <w:kern w:val="0"/>
          <w:sz w:val="32"/>
          <w:szCs w:val="32"/>
        </w:rPr>
        <w:t>，并</w:t>
      </w:r>
      <w:r>
        <w:rPr>
          <w:rFonts w:hint="eastAsia" w:ascii="仿宋_GB2312" w:hAnsi="微软雅黑" w:eastAsia="仿宋_GB2312" w:cs="宋体"/>
          <w:color w:val="000000"/>
          <w:kern w:val="0"/>
          <w:sz w:val="32"/>
          <w:szCs w:val="32"/>
          <w:lang w:val="en-US" w:eastAsia="zh-CN"/>
        </w:rPr>
        <w:t>完成地块图则调整，依程序报批后，纳入控规成果</w:t>
      </w:r>
      <w:r>
        <w:rPr>
          <w:rFonts w:hint="eastAsia" w:ascii="仿宋_GB2312" w:hAnsi="微软雅黑" w:eastAsia="仿宋_GB2312" w:cs="宋体"/>
          <w:color w:val="000000"/>
          <w:kern w:val="0"/>
          <w:sz w:val="32"/>
          <w:szCs w:val="32"/>
        </w:rPr>
        <w:t>。</w:t>
      </w:r>
    </w:p>
    <w:p>
      <w:pPr>
        <w:keepNext w:val="0"/>
        <w:keepLines w:val="0"/>
        <w:pageBreakBefore w:val="0"/>
        <w:widowControl w:val="0"/>
        <w:shd w:val="clear" w:color="auto" w:fill="FFFFFF"/>
        <w:kinsoku/>
        <w:wordWrap w:val="0"/>
        <w:overflowPunct/>
        <w:topLinePunct w:val="0"/>
        <w:autoSpaceDE/>
        <w:autoSpaceDN/>
        <w:bidi w:val="0"/>
        <w:adjustRightInd/>
        <w:snapToGrid/>
        <w:spacing w:line="540" w:lineRule="exact"/>
        <w:ind w:firstLine="640"/>
        <w:jc w:val="left"/>
        <w:textAlignment w:val="auto"/>
        <w:rPr>
          <w:rFonts w:hint="default" w:ascii="仿宋_GB2312" w:hAnsi="微软雅黑" w:eastAsia="仿宋_GB2312" w:cs="宋体"/>
          <w:color w:val="000000"/>
          <w:kern w:val="0"/>
          <w:sz w:val="32"/>
          <w:szCs w:val="32"/>
          <w:lang w:val="en-US" w:eastAsia="zh-CN"/>
        </w:rPr>
      </w:pPr>
      <w:r>
        <w:rPr>
          <w:rFonts w:hint="eastAsia" w:ascii="仿宋_GB2312" w:hAnsi="微软雅黑" w:eastAsia="仿宋_GB2312" w:cs="宋体"/>
          <w:color w:val="000000"/>
          <w:kern w:val="0"/>
          <w:sz w:val="32"/>
          <w:szCs w:val="32"/>
        </w:rPr>
        <w:t>本次</w:t>
      </w:r>
      <w:r>
        <w:rPr>
          <w:rFonts w:hint="eastAsia" w:ascii="仿宋_GB2312" w:hAnsi="微软雅黑" w:eastAsia="仿宋_GB2312" w:cs="宋体"/>
          <w:color w:val="000000"/>
          <w:kern w:val="0"/>
          <w:sz w:val="32"/>
          <w:szCs w:val="32"/>
          <w:lang w:val="en-US" w:eastAsia="zh-CN"/>
        </w:rPr>
        <w:t>清濛园区调整论证</w:t>
      </w:r>
      <w:r>
        <w:rPr>
          <w:rFonts w:hint="eastAsia" w:ascii="仿宋_GB2312" w:hAnsi="微软雅黑" w:eastAsia="仿宋_GB2312" w:cs="宋体"/>
          <w:color w:val="000000"/>
          <w:kern w:val="0"/>
          <w:sz w:val="32"/>
          <w:szCs w:val="32"/>
        </w:rPr>
        <w:t>范围</w:t>
      </w:r>
      <w:r>
        <w:rPr>
          <w:rFonts w:hint="eastAsia" w:ascii="仿宋_GB2312" w:hAnsi="微软雅黑" w:eastAsia="仿宋_GB2312" w:cs="宋体"/>
          <w:color w:val="000000"/>
          <w:kern w:val="0"/>
          <w:sz w:val="32"/>
          <w:szCs w:val="32"/>
          <w:lang w:val="en-US" w:eastAsia="zh-CN"/>
        </w:rPr>
        <w:t>涉及C5-11、F2-11，D2-11等11个地块及其细分地块。</w:t>
      </w:r>
    </w:p>
    <w:p>
      <w:pPr>
        <w:keepNext w:val="0"/>
        <w:keepLines w:val="0"/>
        <w:pageBreakBefore w:val="0"/>
        <w:widowControl w:val="0"/>
        <w:shd w:val="clear" w:color="auto" w:fill="FFFFFF"/>
        <w:kinsoku/>
        <w:wordWrap w:val="0"/>
        <w:overflowPunct/>
        <w:topLinePunct w:val="0"/>
        <w:autoSpaceDE/>
        <w:autoSpaceDN/>
        <w:bidi w:val="0"/>
        <w:adjustRightInd/>
        <w:snapToGrid/>
        <w:spacing w:line="540" w:lineRule="exact"/>
        <w:ind w:firstLine="640"/>
        <w:jc w:val="left"/>
        <w:textAlignment w:val="auto"/>
        <w:rPr>
          <w:rFonts w:hint="default" w:ascii="微软雅黑" w:hAnsi="微软雅黑" w:eastAsia="黑体" w:cs="宋体"/>
          <w:color w:val="000000"/>
          <w:kern w:val="0"/>
          <w:sz w:val="27"/>
          <w:szCs w:val="27"/>
          <w:lang w:val="en-US" w:eastAsia="zh-CN"/>
        </w:rPr>
      </w:pPr>
      <w:r>
        <w:rPr>
          <w:rFonts w:hint="eastAsia" w:ascii="黑体" w:hAnsi="黑体" w:eastAsia="黑体" w:cs="宋体"/>
          <w:color w:val="000000"/>
          <w:kern w:val="0"/>
          <w:sz w:val="32"/>
          <w:szCs w:val="32"/>
        </w:rPr>
        <w:t>三、调整内容</w:t>
      </w:r>
      <w:r>
        <w:rPr>
          <w:rFonts w:hint="eastAsia" w:ascii="黑体" w:hAnsi="黑体" w:eastAsia="黑体" w:cs="宋体"/>
          <w:color w:val="000000"/>
          <w:kern w:val="0"/>
          <w:sz w:val="32"/>
          <w:szCs w:val="32"/>
          <w:lang w:val="en-US" w:eastAsia="zh-CN"/>
        </w:rPr>
        <w:t>及指标对比</w:t>
      </w:r>
    </w:p>
    <w:p>
      <w:pPr>
        <w:keepNext w:val="0"/>
        <w:keepLines w:val="0"/>
        <w:pageBreakBefore w:val="0"/>
        <w:widowControl w:val="0"/>
        <w:shd w:val="clear" w:color="auto" w:fill="FFFFFF"/>
        <w:kinsoku/>
        <w:wordWrap w:val="0"/>
        <w:overflowPunct/>
        <w:topLinePunct w:val="0"/>
        <w:autoSpaceDE/>
        <w:autoSpaceDN/>
        <w:bidi w:val="0"/>
        <w:adjustRightInd/>
        <w:snapToGrid/>
        <w:spacing w:line="540" w:lineRule="exact"/>
        <w:ind w:firstLine="640"/>
        <w:jc w:val="left"/>
        <w:textAlignment w:val="auto"/>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本次</w:t>
      </w:r>
      <w:r>
        <w:rPr>
          <w:rFonts w:hint="eastAsia" w:ascii="仿宋_GB2312" w:hAnsi="微软雅黑" w:eastAsia="仿宋_GB2312" w:cs="宋体"/>
          <w:color w:val="000000"/>
          <w:kern w:val="0"/>
          <w:sz w:val="32"/>
          <w:szCs w:val="32"/>
          <w:lang w:val="en-US" w:eastAsia="zh-CN"/>
        </w:rPr>
        <w:t>调整是在延续原有土地出合同及规划设计条件的基础上，严格落实</w:t>
      </w:r>
      <w:r>
        <w:rPr>
          <w:rFonts w:hint="eastAsia" w:ascii="仿宋_GB2312" w:hAnsi="仿宋_GB2312" w:eastAsia="仿宋_GB2312" w:cs="仿宋_GB2312"/>
          <w:sz w:val="32"/>
          <w:szCs w:val="32"/>
          <w:lang w:val="en-US" w:eastAsia="zh-CN"/>
        </w:rPr>
        <w:t>省、市现行政策和技术管理规定要求的前提下，对局部地块进行优化和更新</w:t>
      </w:r>
      <w:r>
        <w:rPr>
          <w:rFonts w:hint="eastAsia" w:ascii="仿宋_GB2312" w:hAnsi="微软雅黑" w:eastAsia="仿宋_GB2312" w:cs="宋体"/>
          <w:color w:val="000000"/>
          <w:kern w:val="0"/>
          <w:sz w:val="32"/>
          <w:szCs w:val="32"/>
        </w:rPr>
        <w:t>，</w:t>
      </w:r>
      <w:r>
        <w:rPr>
          <w:rFonts w:hint="eastAsia" w:ascii="仿宋_GB2312" w:hAnsi="微软雅黑" w:eastAsia="仿宋_GB2312" w:cs="宋体"/>
          <w:color w:val="000000"/>
          <w:kern w:val="0"/>
          <w:sz w:val="32"/>
          <w:szCs w:val="32"/>
          <w:lang w:val="en-US" w:eastAsia="zh-CN"/>
        </w:rPr>
        <w:t>主要指标如下</w:t>
      </w:r>
      <w:r>
        <w:rPr>
          <w:rFonts w:hint="eastAsia" w:ascii="仿宋_GB2312" w:hAnsi="微软雅黑" w:eastAsia="仿宋_GB2312" w:cs="宋体"/>
          <w:color w:val="000000"/>
          <w:kern w:val="0"/>
          <w:sz w:val="32"/>
          <w:szCs w:val="32"/>
        </w:rPr>
        <w:t>：</w:t>
      </w:r>
    </w:p>
    <w:tbl>
      <w:tblPr>
        <w:tblStyle w:val="3"/>
        <w:tblW w:w="0" w:type="auto"/>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15"/>
        <w:gridCol w:w="1066"/>
        <w:gridCol w:w="1099"/>
        <w:gridCol w:w="1120"/>
        <w:gridCol w:w="1010"/>
        <w:gridCol w:w="1107"/>
        <w:gridCol w:w="913"/>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50" w:hRule="atLeast"/>
          <w:tblCellSpacing w:w="0" w:type="dxa"/>
        </w:trPr>
        <w:tc>
          <w:tcPr>
            <w:tcW w:w="2181" w:type="dxa"/>
            <w:gridSpan w:val="2"/>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b/>
                <w:bCs/>
                <w:color w:val="auto"/>
                <w:sz w:val="20"/>
                <w:szCs w:val="20"/>
              </w:rPr>
              <w:t>分类</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b/>
                <w:bCs/>
                <w:color w:val="auto"/>
                <w:sz w:val="20"/>
                <w:szCs w:val="20"/>
              </w:rPr>
              <w:t>用地性质</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b/>
                <w:bCs/>
                <w:color w:val="auto"/>
                <w:sz w:val="20"/>
                <w:szCs w:val="20"/>
              </w:rPr>
              <w:t>用地代码</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b/>
                <w:bCs/>
                <w:color w:val="auto"/>
                <w:sz w:val="20"/>
                <w:szCs w:val="20"/>
              </w:rPr>
              <w:t>容积率</w:t>
            </w:r>
          </w:p>
        </w:tc>
        <w:tc>
          <w:tcPr>
            <w:tcW w:w="1107"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b/>
                <w:bCs/>
                <w:color w:val="auto"/>
                <w:sz w:val="20"/>
                <w:szCs w:val="20"/>
              </w:rPr>
              <w:t>建筑密度（%）</w:t>
            </w:r>
          </w:p>
        </w:tc>
        <w:tc>
          <w:tcPr>
            <w:tcW w:w="913"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b/>
                <w:bCs/>
                <w:color w:val="auto"/>
                <w:sz w:val="20"/>
                <w:szCs w:val="20"/>
              </w:rPr>
              <w:t>绿地率（%）</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b/>
                <w:bCs/>
                <w:color w:val="auto"/>
                <w:sz w:val="20"/>
                <w:szCs w:val="20"/>
              </w:rPr>
              <w:t>建筑限高（m）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8" w:hRule="atLeast"/>
          <w:tblCellSpacing w:w="0" w:type="dxa"/>
        </w:trPr>
        <w:tc>
          <w:tcPr>
            <w:tcW w:w="0" w:type="auto"/>
            <w:vMerge w:val="restart"/>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z w:val="20"/>
                <w:szCs w:val="20"/>
              </w:rPr>
              <w:t>C5-11</w:t>
            </w: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原控规</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零售商业用地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B11</w:t>
            </w:r>
          </w:p>
        </w:tc>
        <w:tc>
          <w:tcPr>
            <w:tcW w:w="1010"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2.0</w:t>
            </w:r>
          </w:p>
        </w:tc>
        <w:tc>
          <w:tcPr>
            <w:tcW w:w="1107"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55</w:t>
            </w:r>
          </w:p>
        </w:tc>
        <w:tc>
          <w:tcPr>
            <w:tcW w:w="913"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10</w:t>
            </w:r>
          </w:p>
        </w:tc>
        <w:tc>
          <w:tcPr>
            <w:tcW w:w="1184"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8" w:hRule="atLeast"/>
          <w:tblCellSpacing w:w="0" w:type="dxa"/>
        </w:trPr>
        <w:tc>
          <w:tcPr>
            <w:tcW w:w="0" w:type="auto"/>
            <w:vMerge w:val="continue"/>
            <w:shd w:val="clear" w:color="auto" w:fill="auto"/>
            <w:tcMar>
              <w:top w:w="72" w:type="dxa"/>
              <w:left w:w="144" w:type="dxa"/>
              <w:bottom w:w="72" w:type="dxa"/>
              <w:right w:w="144" w:type="dxa"/>
            </w:tcMar>
            <w:vAlign w:val="center"/>
          </w:tcPr>
          <w:p>
            <w:pPr>
              <w:rPr>
                <w:rFonts w:hint="eastAsia" w:ascii="仿宋_GB2312" w:hAnsi="仿宋_GB2312" w:eastAsia="仿宋_GB2312" w:cs="仿宋_GB2312"/>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原规划设计条件</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1.3</w:t>
            </w:r>
          </w:p>
        </w:tc>
        <w:tc>
          <w:tcPr>
            <w:tcW w:w="1107"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30</w:t>
            </w:r>
          </w:p>
        </w:tc>
        <w:tc>
          <w:tcPr>
            <w:tcW w:w="913"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30-35</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8" w:hRule="atLeast"/>
          <w:tblCellSpacing w:w="0" w:type="dxa"/>
        </w:trPr>
        <w:tc>
          <w:tcPr>
            <w:tcW w:w="0" w:type="auto"/>
            <w:vMerge w:val="continue"/>
            <w:shd w:val="clear" w:color="auto" w:fill="auto"/>
            <w:tcMar>
              <w:top w:w="72" w:type="dxa"/>
              <w:left w:w="144" w:type="dxa"/>
              <w:bottom w:w="72" w:type="dxa"/>
              <w:right w:w="144" w:type="dxa"/>
            </w:tcMar>
            <w:vAlign w:val="center"/>
          </w:tcPr>
          <w:p>
            <w:pPr>
              <w:rPr>
                <w:rFonts w:hint="eastAsia" w:ascii="仿宋_GB2312" w:hAnsi="仿宋_GB2312" w:eastAsia="仿宋_GB2312" w:cs="仿宋_GB2312"/>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调整后</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二类工业用地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1.3</w:t>
            </w:r>
          </w:p>
        </w:tc>
        <w:tc>
          <w:tcPr>
            <w:tcW w:w="1107"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30-45</w:t>
            </w:r>
          </w:p>
        </w:tc>
        <w:tc>
          <w:tcPr>
            <w:tcW w:w="913"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15-20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8" w:hRule="atLeast"/>
          <w:tblCellSpacing w:w="0" w:type="dxa"/>
        </w:trPr>
        <w:tc>
          <w:tcPr>
            <w:tcW w:w="0" w:type="auto"/>
            <w:vMerge w:val="restart"/>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z w:val="20"/>
                <w:szCs w:val="20"/>
              </w:rPr>
              <w:t>F2-11</w:t>
            </w: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原控规</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零售商业用地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B11</w:t>
            </w:r>
          </w:p>
        </w:tc>
        <w:tc>
          <w:tcPr>
            <w:tcW w:w="1010"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2.0</w:t>
            </w:r>
          </w:p>
        </w:tc>
        <w:tc>
          <w:tcPr>
            <w:tcW w:w="1107"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45</w:t>
            </w:r>
          </w:p>
        </w:tc>
        <w:tc>
          <w:tcPr>
            <w:tcW w:w="913"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20</w:t>
            </w:r>
          </w:p>
        </w:tc>
        <w:tc>
          <w:tcPr>
            <w:tcW w:w="1184"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8" w:hRule="atLeast"/>
          <w:tblCellSpacing w:w="0" w:type="dxa"/>
        </w:trPr>
        <w:tc>
          <w:tcPr>
            <w:tcW w:w="0" w:type="auto"/>
            <w:vMerge w:val="continue"/>
            <w:shd w:val="clear" w:color="auto" w:fill="auto"/>
            <w:tcMar>
              <w:top w:w="72" w:type="dxa"/>
              <w:left w:w="144" w:type="dxa"/>
              <w:bottom w:w="72" w:type="dxa"/>
              <w:right w:w="144" w:type="dxa"/>
            </w:tcMar>
            <w:vAlign w:val="center"/>
          </w:tcPr>
          <w:p>
            <w:pPr>
              <w:rPr>
                <w:rFonts w:hint="eastAsia" w:ascii="仿宋_GB2312" w:hAnsi="仿宋_GB2312" w:eastAsia="仿宋_GB2312" w:cs="仿宋_GB2312"/>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原规划设计条件</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2.5</w:t>
            </w:r>
          </w:p>
        </w:tc>
        <w:tc>
          <w:tcPr>
            <w:tcW w:w="1107"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40</w:t>
            </w:r>
          </w:p>
        </w:tc>
        <w:tc>
          <w:tcPr>
            <w:tcW w:w="913"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30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6" w:hRule="atLeast"/>
          <w:tblCellSpacing w:w="0" w:type="dxa"/>
        </w:trPr>
        <w:tc>
          <w:tcPr>
            <w:tcW w:w="0" w:type="auto"/>
            <w:vMerge w:val="continue"/>
            <w:shd w:val="clear" w:color="auto" w:fill="auto"/>
            <w:tcMar>
              <w:top w:w="72" w:type="dxa"/>
              <w:left w:w="144" w:type="dxa"/>
              <w:bottom w:w="72" w:type="dxa"/>
              <w:right w:w="144" w:type="dxa"/>
            </w:tcMar>
            <w:vAlign w:val="center"/>
          </w:tcPr>
          <w:p>
            <w:pPr>
              <w:rPr>
                <w:rFonts w:hint="eastAsia" w:ascii="仿宋_GB2312" w:hAnsi="仿宋_GB2312" w:eastAsia="仿宋_GB2312" w:cs="仿宋_GB2312"/>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调整后</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2.5</w:t>
            </w:r>
          </w:p>
        </w:tc>
        <w:tc>
          <w:tcPr>
            <w:tcW w:w="1107"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30-45</w:t>
            </w:r>
          </w:p>
        </w:tc>
        <w:tc>
          <w:tcPr>
            <w:tcW w:w="913"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15-20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8" w:hRule="atLeast"/>
          <w:tblCellSpacing w:w="0" w:type="dxa"/>
        </w:trPr>
        <w:tc>
          <w:tcPr>
            <w:tcW w:w="0" w:type="auto"/>
            <w:vMerge w:val="restart"/>
            <w:shd w:val="clear" w:color="auto" w:fill="auto"/>
            <w:tcMar>
              <w:top w:w="72" w:type="dxa"/>
              <w:left w:w="144" w:type="dxa"/>
              <w:bottom w:w="72" w:type="dxa"/>
              <w:right w:w="144" w:type="dxa"/>
            </w:tcMar>
            <w:vAlign w:val="center"/>
          </w:tcPr>
          <w:p>
            <w:pPr>
              <w:pStyle w:val="2"/>
              <w:keepNext w:val="0"/>
              <w:keepLines w:val="0"/>
              <w:widowControl/>
              <w:suppressLineNumbers w:val="0"/>
              <w:rPr>
                <w:rFonts w:hint="default" w:ascii="仿宋_GB2312" w:hAnsi="仿宋_GB2312" w:eastAsia="仿宋_GB2312" w:cs="仿宋_GB2312"/>
                <w:color w:val="auto"/>
                <w:sz w:val="20"/>
                <w:szCs w:val="20"/>
                <w:lang w:val="en-US" w:eastAsia="zh-CN"/>
              </w:rPr>
            </w:pPr>
            <w:r>
              <w:rPr>
                <w:rFonts w:hint="eastAsia" w:ascii="仿宋_GB2312" w:hAnsi="仿宋_GB2312" w:eastAsia="仿宋_GB2312" w:cs="仿宋_GB2312"/>
                <w:b/>
                <w:bCs/>
                <w:color w:val="auto"/>
                <w:sz w:val="20"/>
                <w:szCs w:val="20"/>
              </w:rPr>
              <w:t>D2-</w:t>
            </w:r>
            <w:r>
              <w:rPr>
                <w:rFonts w:hint="eastAsia" w:ascii="仿宋_GB2312" w:hAnsi="仿宋_GB2312" w:eastAsia="仿宋_GB2312" w:cs="仿宋_GB2312"/>
                <w:b/>
                <w:bCs/>
                <w:color w:val="auto"/>
                <w:sz w:val="20"/>
                <w:szCs w:val="20"/>
                <w:lang w:val="en-US" w:eastAsia="zh-CN"/>
              </w:rPr>
              <w:t>09</w:t>
            </w: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原控规</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其他商务用地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B29</w:t>
            </w:r>
          </w:p>
        </w:tc>
        <w:tc>
          <w:tcPr>
            <w:tcW w:w="1010"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2.5</w:t>
            </w:r>
          </w:p>
        </w:tc>
        <w:tc>
          <w:tcPr>
            <w:tcW w:w="1107"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55</w:t>
            </w:r>
          </w:p>
        </w:tc>
        <w:tc>
          <w:tcPr>
            <w:tcW w:w="913"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10</w:t>
            </w:r>
          </w:p>
        </w:tc>
        <w:tc>
          <w:tcPr>
            <w:tcW w:w="1184"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8" w:hRule="atLeast"/>
          <w:tblCellSpacing w:w="0" w:type="dxa"/>
        </w:trPr>
        <w:tc>
          <w:tcPr>
            <w:tcW w:w="0" w:type="auto"/>
            <w:vMerge w:val="continue"/>
            <w:shd w:val="clear" w:color="auto" w:fill="auto"/>
            <w:tcMar>
              <w:top w:w="72" w:type="dxa"/>
              <w:left w:w="144" w:type="dxa"/>
              <w:bottom w:w="72" w:type="dxa"/>
              <w:right w:w="144" w:type="dxa"/>
            </w:tcMar>
            <w:vAlign w:val="center"/>
          </w:tcPr>
          <w:p>
            <w:pPr>
              <w:rPr>
                <w:rFonts w:hint="eastAsia" w:ascii="仿宋_GB2312" w:hAnsi="仿宋_GB2312" w:eastAsia="仿宋_GB2312" w:cs="仿宋_GB2312"/>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原规划设计条件</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1.2</w:t>
            </w:r>
          </w:p>
        </w:tc>
        <w:tc>
          <w:tcPr>
            <w:tcW w:w="1107"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45</w:t>
            </w:r>
          </w:p>
        </w:tc>
        <w:tc>
          <w:tcPr>
            <w:tcW w:w="913"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30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6" w:hRule="atLeast"/>
          <w:tblCellSpacing w:w="0" w:type="dxa"/>
        </w:trPr>
        <w:tc>
          <w:tcPr>
            <w:tcW w:w="0" w:type="auto"/>
            <w:vMerge w:val="continue"/>
            <w:shd w:val="clear" w:color="auto" w:fill="auto"/>
            <w:tcMar>
              <w:top w:w="72" w:type="dxa"/>
              <w:left w:w="144" w:type="dxa"/>
              <w:bottom w:w="72" w:type="dxa"/>
              <w:right w:w="144" w:type="dxa"/>
            </w:tcMar>
            <w:vAlign w:val="center"/>
          </w:tcPr>
          <w:p>
            <w:pPr>
              <w:rPr>
                <w:rFonts w:hint="eastAsia" w:ascii="仿宋_GB2312" w:hAnsi="仿宋_GB2312" w:eastAsia="仿宋_GB2312" w:cs="仿宋_GB2312"/>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调整后</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1.2</w:t>
            </w:r>
          </w:p>
        </w:tc>
        <w:tc>
          <w:tcPr>
            <w:tcW w:w="1107"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30-45</w:t>
            </w:r>
          </w:p>
        </w:tc>
        <w:tc>
          <w:tcPr>
            <w:tcW w:w="913"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15-20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8" w:hRule="atLeast"/>
          <w:tblCellSpacing w:w="0" w:type="dxa"/>
        </w:trPr>
        <w:tc>
          <w:tcPr>
            <w:tcW w:w="0" w:type="auto"/>
            <w:vMerge w:val="restart"/>
            <w:shd w:val="clear" w:color="auto" w:fill="auto"/>
            <w:tcMar>
              <w:top w:w="72" w:type="dxa"/>
              <w:left w:w="144" w:type="dxa"/>
              <w:bottom w:w="72" w:type="dxa"/>
              <w:right w:w="144" w:type="dxa"/>
            </w:tcMar>
            <w:vAlign w:val="center"/>
          </w:tcPr>
          <w:p>
            <w:pPr>
              <w:pStyle w:val="2"/>
              <w:keepNext w:val="0"/>
              <w:keepLines w:val="0"/>
              <w:widowControl/>
              <w:suppressLineNumbers w:val="0"/>
              <w:rPr>
                <w:rFonts w:hint="default" w:ascii="仿宋_GB2312" w:hAnsi="仿宋_GB2312" w:eastAsia="仿宋_GB2312" w:cs="仿宋_GB2312"/>
                <w:color w:val="auto"/>
                <w:sz w:val="20"/>
                <w:szCs w:val="20"/>
                <w:lang w:val="en-US" w:eastAsia="zh-CN"/>
              </w:rPr>
            </w:pPr>
            <w:r>
              <w:rPr>
                <w:rFonts w:hint="eastAsia" w:ascii="仿宋_GB2312" w:hAnsi="仿宋_GB2312" w:eastAsia="仿宋_GB2312" w:cs="仿宋_GB2312"/>
                <w:b/>
                <w:bCs/>
                <w:color w:val="auto"/>
                <w:sz w:val="20"/>
                <w:szCs w:val="20"/>
              </w:rPr>
              <w:t>D1-05</w:t>
            </w:r>
            <w:r>
              <w:rPr>
                <w:rFonts w:hint="eastAsia" w:ascii="仿宋_GB2312" w:hAnsi="仿宋_GB2312" w:eastAsia="仿宋_GB2312" w:cs="仿宋_GB2312"/>
                <w:b/>
                <w:bCs/>
                <w:color w:val="auto"/>
                <w:sz w:val="20"/>
                <w:szCs w:val="20"/>
                <w:lang w:val="en-US" w:eastAsia="zh-CN"/>
              </w:rPr>
              <w:t>-01</w:t>
            </w: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原控规</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综合开发用地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Bz</w:t>
            </w:r>
          </w:p>
        </w:tc>
        <w:tc>
          <w:tcPr>
            <w:tcW w:w="1010" w:type="dxa"/>
            <w:shd w:val="clear" w:color="auto" w:fill="auto"/>
            <w:tcMar>
              <w:top w:w="13" w:type="dxa"/>
              <w:left w:w="13" w:type="dxa"/>
              <w:right w:w="13"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3.5</w:t>
            </w:r>
          </w:p>
        </w:tc>
        <w:tc>
          <w:tcPr>
            <w:tcW w:w="1107" w:type="dxa"/>
            <w:shd w:val="clear" w:color="auto" w:fill="auto"/>
            <w:tcMar>
              <w:top w:w="16" w:type="dxa"/>
              <w:left w:w="16" w:type="dxa"/>
              <w:right w:w="16"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45</w:t>
            </w:r>
          </w:p>
        </w:tc>
        <w:tc>
          <w:tcPr>
            <w:tcW w:w="913" w:type="dxa"/>
            <w:shd w:val="clear" w:color="auto" w:fill="auto"/>
            <w:tcMar>
              <w:top w:w="16" w:type="dxa"/>
              <w:left w:w="16" w:type="dxa"/>
              <w:right w:w="16"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25</w:t>
            </w:r>
          </w:p>
        </w:tc>
        <w:tc>
          <w:tcPr>
            <w:tcW w:w="1184" w:type="dxa"/>
            <w:shd w:val="clear" w:color="auto" w:fill="auto"/>
            <w:tcMar>
              <w:top w:w="16" w:type="dxa"/>
              <w:left w:w="16" w:type="dxa"/>
              <w:right w:w="16"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8" w:hRule="atLeast"/>
          <w:tblCellSpacing w:w="0" w:type="dxa"/>
        </w:trPr>
        <w:tc>
          <w:tcPr>
            <w:tcW w:w="0" w:type="auto"/>
            <w:vMerge w:val="continue"/>
            <w:shd w:val="clear" w:color="auto" w:fill="auto"/>
            <w:tcMar>
              <w:top w:w="72" w:type="dxa"/>
              <w:left w:w="144" w:type="dxa"/>
              <w:bottom w:w="72" w:type="dxa"/>
              <w:right w:w="144" w:type="dxa"/>
            </w:tcMar>
            <w:vAlign w:val="center"/>
          </w:tcPr>
          <w:p>
            <w:pPr>
              <w:rPr>
                <w:rFonts w:hint="eastAsia" w:ascii="仿宋_GB2312" w:hAnsi="仿宋_GB2312" w:eastAsia="仿宋_GB2312" w:cs="仿宋_GB2312"/>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原规划设计条件</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M3</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2.5</w:t>
            </w:r>
          </w:p>
        </w:tc>
        <w:tc>
          <w:tcPr>
            <w:tcW w:w="1107"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40</w:t>
            </w:r>
          </w:p>
        </w:tc>
        <w:tc>
          <w:tcPr>
            <w:tcW w:w="913"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30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0" w:type="auto"/>
            <w:vMerge w:val="continue"/>
            <w:shd w:val="clear" w:color="auto" w:fill="auto"/>
            <w:tcMar>
              <w:top w:w="72" w:type="dxa"/>
              <w:left w:w="144" w:type="dxa"/>
              <w:bottom w:w="72" w:type="dxa"/>
              <w:right w:w="144" w:type="dxa"/>
            </w:tcMar>
            <w:vAlign w:val="center"/>
          </w:tcPr>
          <w:p>
            <w:pPr>
              <w:rPr>
                <w:rFonts w:hint="eastAsia" w:ascii="仿宋_GB2312" w:hAnsi="仿宋_GB2312" w:eastAsia="仿宋_GB2312" w:cs="仿宋_GB2312"/>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调整后</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2.5</w:t>
            </w:r>
          </w:p>
        </w:tc>
        <w:tc>
          <w:tcPr>
            <w:tcW w:w="1107"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30-45</w:t>
            </w:r>
          </w:p>
        </w:tc>
        <w:tc>
          <w:tcPr>
            <w:tcW w:w="913" w:type="dxa"/>
            <w:shd w:val="clear" w:color="auto" w:fill="auto"/>
            <w:tcMar>
              <w:top w:w="19" w:type="dxa"/>
              <w:left w:w="19" w:type="dxa"/>
              <w:right w:w="19" w:type="dxa"/>
            </w:tcMar>
            <w:vAlign w:val="center"/>
          </w:tcPr>
          <w:p>
            <w:pPr>
              <w:pStyle w:val="2"/>
              <w:keepNext w:val="0"/>
              <w:keepLines w:val="0"/>
              <w:widowControl/>
              <w:suppressLineNumbers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15-20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restart"/>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B3-21</w:t>
            </w:r>
          </w:p>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原控规</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综合开发用地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B综</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3.5</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原规划设计条件</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2.5</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40</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调整后</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二类工业用地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2.5</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15-2</w:t>
            </w:r>
            <w:r>
              <w:rPr>
                <w:rFonts w:hint="eastAsia" w:ascii="宋体" w:hAnsi="宋体" w:eastAsia="宋体" w:cs="宋体"/>
                <w:color w:val="auto"/>
                <w:sz w:val="20"/>
                <w:szCs w:val="20"/>
                <w:lang w:val="en-US" w:eastAsia="zh-CN"/>
              </w:rPr>
              <w:t>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restart"/>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D1-05-02</w:t>
            </w:r>
          </w:p>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原控规</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综合开发用地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B综</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3.5</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原规划设计条件</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1.1</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40</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调整后</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二类工业用地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1.1</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15-2</w:t>
            </w:r>
            <w:r>
              <w:rPr>
                <w:rFonts w:hint="eastAsia" w:ascii="宋体" w:hAnsi="宋体" w:eastAsia="宋体" w:cs="宋体"/>
                <w:color w:val="auto"/>
                <w:sz w:val="20"/>
                <w:szCs w:val="20"/>
                <w:lang w:val="en-US" w:eastAsia="zh-CN"/>
              </w:rPr>
              <w:t>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restart"/>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D1-05-03</w:t>
            </w: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原控规</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综合开发用地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B综</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3.5</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原规划设计条件</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1.1</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40</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调整后</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二类工业用地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1.1</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15-2</w:t>
            </w:r>
            <w:r>
              <w:rPr>
                <w:rFonts w:hint="eastAsia" w:ascii="宋体" w:hAnsi="宋体" w:eastAsia="宋体" w:cs="宋体"/>
                <w:color w:val="auto"/>
                <w:sz w:val="20"/>
                <w:szCs w:val="20"/>
                <w:lang w:val="en-US" w:eastAsia="zh-CN"/>
              </w:rPr>
              <w:t>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restart"/>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D1-05-04</w:t>
            </w:r>
          </w:p>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原控规</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综合开发用地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B综</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3.5</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原规划设计条件</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2.5</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40</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调整后</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2.5</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15-2</w:t>
            </w:r>
            <w:r>
              <w:rPr>
                <w:rFonts w:hint="eastAsia" w:ascii="宋体" w:hAnsi="宋体" w:eastAsia="宋体" w:cs="宋体"/>
                <w:color w:val="auto"/>
                <w:sz w:val="20"/>
                <w:szCs w:val="20"/>
                <w:lang w:val="en-US" w:eastAsia="zh-CN"/>
              </w:rPr>
              <w:t>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restart"/>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D1-05-05</w:t>
            </w:r>
          </w:p>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原控规</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综合开发用地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B综</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3.5</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原规划设计条件</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1.1</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40</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调整后</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1.1</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15-2</w:t>
            </w:r>
            <w:r>
              <w:rPr>
                <w:rFonts w:hint="eastAsia" w:ascii="宋体" w:hAnsi="宋体" w:eastAsia="宋体" w:cs="宋体"/>
                <w:color w:val="auto"/>
                <w:sz w:val="20"/>
                <w:szCs w:val="20"/>
                <w:lang w:val="en-US" w:eastAsia="zh-CN"/>
              </w:rPr>
              <w:t>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restart"/>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D8-03</w:t>
            </w:r>
          </w:p>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原控规</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综合开发用地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B综</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原规划设计条件</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二类工业用地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1.3</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40</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调整后</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二类工业用地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1.3</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15-2</w:t>
            </w:r>
            <w:r>
              <w:rPr>
                <w:rFonts w:hint="eastAsia" w:ascii="宋体" w:hAnsi="宋体" w:eastAsia="宋体" w:cs="宋体"/>
                <w:color w:val="auto"/>
                <w:sz w:val="20"/>
                <w:szCs w:val="20"/>
                <w:lang w:val="en-US" w:eastAsia="zh-CN"/>
              </w:rPr>
              <w:t>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tblCellSpacing w:w="0" w:type="dxa"/>
        </w:trPr>
        <w:tc>
          <w:tcPr>
            <w:tcW w:w="1115" w:type="dxa"/>
            <w:vMerge w:val="restart"/>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E3-12</w:t>
            </w:r>
          </w:p>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原控规</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其他商务用地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B29</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2.5</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原规划设计条件</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40</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tblCellSpacing w:w="0" w:type="dxa"/>
        </w:trPr>
        <w:tc>
          <w:tcPr>
            <w:tcW w:w="1115" w:type="dxa"/>
            <w:vMerge w:val="continue"/>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p>
        </w:tc>
        <w:tc>
          <w:tcPr>
            <w:tcW w:w="1066"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调整后</w:t>
            </w:r>
          </w:p>
        </w:tc>
        <w:tc>
          <w:tcPr>
            <w:tcW w:w="1099"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工业用地</w:t>
            </w:r>
          </w:p>
        </w:tc>
        <w:tc>
          <w:tcPr>
            <w:tcW w:w="112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M2</w:t>
            </w:r>
          </w:p>
        </w:tc>
        <w:tc>
          <w:tcPr>
            <w:tcW w:w="1010"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2</w:t>
            </w:r>
          </w:p>
        </w:tc>
        <w:tc>
          <w:tcPr>
            <w:tcW w:w="1107"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30-45</w:t>
            </w:r>
          </w:p>
        </w:tc>
        <w:tc>
          <w:tcPr>
            <w:tcW w:w="913" w:type="dxa"/>
            <w:shd w:val="clear" w:color="auto" w:fill="auto"/>
            <w:tcMar>
              <w:top w:w="19" w:type="dxa"/>
              <w:left w:w="19" w:type="dxa"/>
              <w:right w:w="19" w:type="dxa"/>
            </w:tcMar>
            <w:vAlign w:val="center"/>
          </w:tcPr>
          <w:p>
            <w:pPr>
              <w:pStyle w:val="2"/>
              <w:keepNext w:val="0"/>
              <w:keepLines w:val="0"/>
              <w:widowControl/>
              <w:suppressLineNumbers w:val="0"/>
              <w:rPr>
                <w:rFonts w:hint="eastAsia" w:ascii="宋体" w:hAnsi="宋体" w:eastAsia="宋体" w:cs="宋体"/>
                <w:color w:val="auto"/>
                <w:sz w:val="20"/>
                <w:szCs w:val="20"/>
              </w:rPr>
            </w:pPr>
            <w:r>
              <w:rPr>
                <w:rFonts w:hint="eastAsia" w:ascii="宋体" w:hAnsi="宋体" w:eastAsia="宋体" w:cs="宋体"/>
                <w:color w:val="auto"/>
                <w:sz w:val="20"/>
                <w:szCs w:val="20"/>
              </w:rPr>
              <w:t>15-2</w:t>
            </w:r>
            <w:r>
              <w:rPr>
                <w:rFonts w:hint="eastAsia" w:ascii="宋体" w:hAnsi="宋体" w:eastAsia="宋体" w:cs="宋体"/>
                <w:color w:val="auto"/>
                <w:sz w:val="20"/>
                <w:szCs w:val="20"/>
                <w:lang w:val="en-US" w:eastAsia="zh-CN"/>
              </w:rPr>
              <w:t>0</w:t>
            </w:r>
          </w:p>
        </w:tc>
        <w:tc>
          <w:tcPr>
            <w:tcW w:w="1184" w:type="dxa"/>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24</w:t>
            </w:r>
          </w:p>
        </w:tc>
      </w:tr>
    </w:tbl>
    <w:p>
      <w:pPr>
        <w:widowControl/>
        <w:shd w:val="clear" w:color="auto" w:fill="FFFFFF"/>
        <w:wordWrap w:val="0"/>
        <w:ind w:firstLine="640"/>
        <w:jc w:val="left"/>
        <w:rPr>
          <w:rFonts w:hint="eastAsia" w:ascii="黑体" w:hAnsi="黑体" w:eastAsia="黑体" w:cs="宋体"/>
          <w:color w:val="000000"/>
          <w:kern w:val="0"/>
          <w:sz w:val="32"/>
          <w:szCs w:val="32"/>
          <w:lang w:val="en-US" w:eastAsia="zh-CN"/>
        </w:rPr>
      </w:pPr>
    </w:p>
    <w:p>
      <w:pPr>
        <w:keepNext w:val="0"/>
        <w:keepLines w:val="0"/>
        <w:pageBreakBefore w:val="0"/>
        <w:widowControl w:val="0"/>
        <w:shd w:val="clear" w:color="auto" w:fill="FFFFFF"/>
        <w:kinsoku/>
        <w:wordWrap w:val="0"/>
        <w:overflowPunct/>
        <w:topLinePunct w:val="0"/>
        <w:autoSpaceDE/>
        <w:autoSpaceDN/>
        <w:bidi w:val="0"/>
        <w:adjustRightInd/>
        <w:snapToGrid/>
        <w:spacing w:line="540" w:lineRule="exact"/>
        <w:ind w:firstLine="640"/>
        <w:jc w:val="left"/>
        <w:textAlignment w:val="auto"/>
        <w:rPr>
          <w:rFonts w:hint="eastAsia" w:ascii="黑体" w:hAnsi="黑体" w:eastAsia="黑体" w:cs="宋体"/>
          <w:color w:val="000000"/>
          <w:kern w:val="0"/>
          <w:sz w:val="32"/>
          <w:szCs w:val="32"/>
          <w:lang w:val="en-US" w:eastAsia="zh-CN"/>
        </w:rPr>
      </w:pPr>
      <w:r>
        <w:rPr>
          <w:rFonts w:hint="eastAsia" w:ascii="黑体" w:hAnsi="黑体" w:eastAsia="黑体" w:cs="宋体"/>
          <w:color w:val="000000"/>
          <w:kern w:val="0"/>
          <w:sz w:val="32"/>
          <w:szCs w:val="32"/>
          <w:lang w:val="en-US" w:eastAsia="zh-CN"/>
        </w:rPr>
        <w:t>四、图则</w:t>
      </w: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r>
        <w:rPr>
          <w:rFonts w:hint="eastAsia" w:ascii="黑体" w:hAnsi="黑体" w:eastAsia="黑体" w:cs="宋体"/>
          <w:color w:val="000000"/>
          <w:kern w:val="0"/>
          <w:sz w:val="32"/>
          <w:szCs w:val="32"/>
          <w:lang w:val="en-US" w:eastAsia="zh-CN"/>
        </w:rPr>
        <w:drawing>
          <wp:inline distT="0" distB="0" distL="114300" distR="114300">
            <wp:extent cx="5264150" cy="3721100"/>
            <wp:effectExtent l="0" t="0" r="12700" b="12700"/>
            <wp:docPr id="10" name="图片 10" descr="1 磊盛 B3-21- 地块图则 公示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磊盛 B3-21- 地块图则 公示稿"/>
                    <pic:cNvPicPr>
                      <a:picLocks noChangeAspect="1"/>
                    </pic:cNvPicPr>
                  </pic:nvPicPr>
                  <pic:blipFill>
                    <a:blip r:embed="rId4"/>
                    <a:stretch>
                      <a:fillRect/>
                    </a:stretch>
                  </pic:blipFill>
                  <pic:spPr>
                    <a:xfrm>
                      <a:off x="0" y="0"/>
                      <a:ext cx="5264150" cy="3721100"/>
                    </a:xfrm>
                    <a:prstGeom prst="rect">
                      <a:avLst/>
                    </a:prstGeom>
                  </pic:spPr>
                </pic:pic>
              </a:graphicData>
            </a:graphic>
          </wp:inline>
        </w:drawing>
      </w: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r>
        <w:rPr>
          <w:rFonts w:hint="eastAsia" w:ascii="黑体" w:hAnsi="黑体" w:eastAsia="黑体" w:cs="宋体"/>
          <w:color w:val="000000"/>
          <w:kern w:val="0"/>
          <w:sz w:val="32"/>
          <w:szCs w:val="32"/>
          <w:lang w:val="en-US" w:eastAsia="zh-CN"/>
        </w:rPr>
        <w:drawing>
          <wp:inline distT="0" distB="0" distL="114300" distR="114300">
            <wp:extent cx="5264150" cy="3721100"/>
            <wp:effectExtent l="0" t="0" r="12700" b="12700"/>
            <wp:docPr id="11" name="图片 11" descr="2 杰嘉 D1-05 地块图则 公示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杰嘉 D1-05 地块图则 公示稿"/>
                    <pic:cNvPicPr>
                      <a:picLocks noChangeAspect="1"/>
                    </pic:cNvPicPr>
                  </pic:nvPicPr>
                  <pic:blipFill>
                    <a:blip r:embed="rId5"/>
                    <a:stretch>
                      <a:fillRect/>
                    </a:stretch>
                  </pic:blipFill>
                  <pic:spPr>
                    <a:xfrm>
                      <a:off x="0" y="0"/>
                      <a:ext cx="5264150" cy="3721100"/>
                    </a:xfrm>
                    <a:prstGeom prst="rect">
                      <a:avLst/>
                    </a:prstGeom>
                  </pic:spPr>
                </pic:pic>
              </a:graphicData>
            </a:graphic>
          </wp:inline>
        </w:drawing>
      </w: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r>
        <w:rPr>
          <w:rFonts w:hint="eastAsia" w:ascii="黑体" w:hAnsi="黑体" w:eastAsia="黑体" w:cs="宋体"/>
          <w:color w:val="000000"/>
          <w:kern w:val="0"/>
          <w:sz w:val="32"/>
          <w:szCs w:val="32"/>
          <w:lang w:val="en-US" w:eastAsia="zh-CN"/>
        </w:rPr>
        <w:drawing>
          <wp:inline distT="0" distB="0" distL="114300" distR="114300">
            <wp:extent cx="5264150" cy="3721100"/>
            <wp:effectExtent l="0" t="0" r="12700" b="12700"/>
            <wp:docPr id="12" name="图片 12" descr="3 中意 D8-03 地块图则 公示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中意 D8-03 地块图则 公示稿"/>
                    <pic:cNvPicPr>
                      <a:picLocks noChangeAspect="1"/>
                    </pic:cNvPicPr>
                  </pic:nvPicPr>
                  <pic:blipFill>
                    <a:blip r:embed="rId6"/>
                    <a:stretch>
                      <a:fillRect/>
                    </a:stretch>
                  </pic:blipFill>
                  <pic:spPr>
                    <a:xfrm>
                      <a:off x="0" y="0"/>
                      <a:ext cx="5264150" cy="3721100"/>
                    </a:xfrm>
                    <a:prstGeom prst="rect">
                      <a:avLst/>
                    </a:prstGeom>
                  </pic:spPr>
                </pic:pic>
              </a:graphicData>
            </a:graphic>
          </wp:inline>
        </w:drawing>
      </w: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r>
        <w:rPr>
          <w:rFonts w:hint="eastAsia" w:ascii="黑体" w:hAnsi="黑体" w:eastAsia="黑体" w:cs="宋体"/>
          <w:color w:val="000000"/>
          <w:kern w:val="0"/>
          <w:sz w:val="32"/>
          <w:szCs w:val="32"/>
          <w:lang w:val="en-US" w:eastAsia="zh-CN"/>
        </w:rPr>
        <w:drawing>
          <wp:inline distT="0" distB="0" distL="114300" distR="114300">
            <wp:extent cx="5264150" cy="3721100"/>
            <wp:effectExtent l="0" t="0" r="12700" b="12700"/>
            <wp:docPr id="13" name="图片 13" descr="4. 奔达 E3-12 地块图则 公示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奔达 E3-12 地块图则 公示稿"/>
                    <pic:cNvPicPr>
                      <a:picLocks noChangeAspect="1"/>
                    </pic:cNvPicPr>
                  </pic:nvPicPr>
                  <pic:blipFill>
                    <a:blip r:embed="rId7"/>
                    <a:stretch>
                      <a:fillRect/>
                    </a:stretch>
                  </pic:blipFill>
                  <pic:spPr>
                    <a:xfrm>
                      <a:off x="0" y="0"/>
                      <a:ext cx="5264150" cy="3721100"/>
                    </a:xfrm>
                    <a:prstGeom prst="rect">
                      <a:avLst/>
                    </a:prstGeom>
                  </pic:spPr>
                </pic:pic>
              </a:graphicData>
            </a:graphic>
          </wp:inline>
        </w:drawing>
      </w: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r>
        <w:rPr>
          <w:rFonts w:hint="eastAsia" w:ascii="黑体" w:hAnsi="黑体" w:eastAsia="黑体" w:cs="宋体"/>
          <w:color w:val="000000"/>
          <w:kern w:val="0"/>
          <w:sz w:val="32"/>
          <w:szCs w:val="32"/>
          <w:lang w:val="en-US" w:eastAsia="zh-CN"/>
        </w:rPr>
        <w:drawing>
          <wp:inline distT="0" distB="0" distL="114300" distR="114300">
            <wp:extent cx="5266055" cy="3725545"/>
            <wp:effectExtent l="0" t="0" r="10795" b="8255"/>
            <wp:docPr id="14" name="图片 14" descr="爱优 地块图则 公示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爱优 地块图则 公示稿"/>
                    <pic:cNvPicPr>
                      <a:picLocks noChangeAspect="1"/>
                    </pic:cNvPicPr>
                  </pic:nvPicPr>
                  <pic:blipFill>
                    <a:blip r:embed="rId8"/>
                    <a:stretch>
                      <a:fillRect/>
                    </a:stretch>
                  </pic:blipFill>
                  <pic:spPr>
                    <a:xfrm>
                      <a:off x="0" y="0"/>
                      <a:ext cx="5266055" cy="3725545"/>
                    </a:xfrm>
                    <a:prstGeom prst="rect">
                      <a:avLst/>
                    </a:prstGeom>
                  </pic:spPr>
                </pic:pic>
              </a:graphicData>
            </a:graphic>
          </wp:inline>
        </w:drawing>
      </w: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r>
        <w:rPr>
          <w:rFonts w:hint="eastAsia" w:ascii="黑体" w:hAnsi="黑体" w:eastAsia="黑体" w:cs="宋体"/>
          <w:color w:val="000000"/>
          <w:kern w:val="0"/>
          <w:sz w:val="32"/>
          <w:szCs w:val="32"/>
          <w:lang w:val="en-US" w:eastAsia="zh-CN"/>
        </w:rPr>
        <w:drawing>
          <wp:inline distT="0" distB="0" distL="114300" distR="114300">
            <wp:extent cx="5266055" cy="3725545"/>
            <wp:effectExtent l="0" t="0" r="10795" b="8255"/>
            <wp:docPr id="15" name="图片 15" descr="德昱 地块图则 公示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德昱 地块图则 公示稿"/>
                    <pic:cNvPicPr>
                      <a:picLocks noChangeAspect="1"/>
                    </pic:cNvPicPr>
                  </pic:nvPicPr>
                  <pic:blipFill>
                    <a:blip r:embed="rId9"/>
                    <a:stretch>
                      <a:fillRect/>
                    </a:stretch>
                  </pic:blipFill>
                  <pic:spPr>
                    <a:xfrm>
                      <a:off x="0" y="0"/>
                      <a:ext cx="5266055" cy="3725545"/>
                    </a:xfrm>
                    <a:prstGeom prst="rect">
                      <a:avLst/>
                    </a:prstGeom>
                  </pic:spPr>
                </pic:pic>
              </a:graphicData>
            </a:graphic>
          </wp:inline>
        </w:drawing>
      </w: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r>
        <w:rPr>
          <w:rFonts w:hint="eastAsia" w:ascii="黑体" w:hAnsi="黑体" w:eastAsia="黑体" w:cs="宋体"/>
          <w:color w:val="000000"/>
          <w:kern w:val="0"/>
          <w:sz w:val="32"/>
          <w:szCs w:val="32"/>
          <w:lang w:val="en-US" w:eastAsia="zh-CN"/>
        </w:rPr>
        <w:drawing>
          <wp:inline distT="0" distB="0" distL="114300" distR="114300">
            <wp:extent cx="5264150" cy="3721100"/>
            <wp:effectExtent l="0" t="0" r="12700" b="12700"/>
            <wp:docPr id="16" name="图片 16" descr="龙华 地块图则 公示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龙华 地块图则 公示稿"/>
                    <pic:cNvPicPr>
                      <a:picLocks noChangeAspect="1"/>
                    </pic:cNvPicPr>
                  </pic:nvPicPr>
                  <pic:blipFill>
                    <a:blip r:embed="rId10"/>
                    <a:stretch>
                      <a:fillRect/>
                    </a:stretch>
                  </pic:blipFill>
                  <pic:spPr>
                    <a:xfrm>
                      <a:off x="0" y="0"/>
                      <a:ext cx="5264150" cy="3721100"/>
                    </a:xfrm>
                    <a:prstGeom prst="rect">
                      <a:avLst/>
                    </a:prstGeom>
                  </pic:spPr>
                </pic:pic>
              </a:graphicData>
            </a:graphic>
          </wp:inline>
        </w:drawing>
      </w: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r>
        <w:rPr>
          <w:rFonts w:hint="eastAsia" w:ascii="黑体" w:hAnsi="黑体" w:eastAsia="黑体" w:cs="宋体"/>
          <w:color w:val="000000"/>
          <w:kern w:val="0"/>
          <w:sz w:val="32"/>
          <w:szCs w:val="32"/>
          <w:lang w:val="en-US" w:eastAsia="zh-CN"/>
        </w:rPr>
        <w:drawing>
          <wp:inline distT="0" distB="0" distL="114300" distR="114300">
            <wp:extent cx="5266055" cy="3725545"/>
            <wp:effectExtent l="0" t="0" r="10795" b="8255"/>
            <wp:docPr id="17" name="图片 17" descr="唐人八大 地块图则 公示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唐人八大 地块图则 公示稿"/>
                    <pic:cNvPicPr>
                      <a:picLocks noChangeAspect="1"/>
                    </pic:cNvPicPr>
                  </pic:nvPicPr>
                  <pic:blipFill>
                    <a:blip r:embed="rId11"/>
                    <a:stretch>
                      <a:fillRect/>
                    </a:stretch>
                  </pic:blipFill>
                  <pic:spPr>
                    <a:xfrm>
                      <a:off x="0" y="0"/>
                      <a:ext cx="5266055" cy="3725545"/>
                    </a:xfrm>
                    <a:prstGeom prst="rect">
                      <a:avLst/>
                    </a:prstGeom>
                  </pic:spPr>
                </pic:pic>
              </a:graphicData>
            </a:graphic>
          </wp:inline>
        </w:drawing>
      </w: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r>
        <w:rPr>
          <w:rFonts w:hint="eastAsia" w:ascii="黑体" w:hAnsi="黑体" w:eastAsia="黑体" w:cs="宋体"/>
          <w:color w:val="000000"/>
          <w:kern w:val="0"/>
          <w:sz w:val="32"/>
          <w:szCs w:val="32"/>
          <w:lang w:val="en-US" w:eastAsia="zh-CN"/>
        </w:rPr>
        <w:drawing>
          <wp:inline distT="0" distB="0" distL="114300" distR="114300">
            <wp:extent cx="5264150" cy="3721100"/>
            <wp:effectExtent l="0" t="0" r="12700" b="12700"/>
            <wp:docPr id="18" name="图片 18" descr="置换绿地tz05 新编码B-21 公示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置换绿地tz05 新编码B-21 公示稿"/>
                    <pic:cNvPicPr>
                      <a:picLocks noChangeAspect="1"/>
                    </pic:cNvPicPr>
                  </pic:nvPicPr>
                  <pic:blipFill>
                    <a:blip r:embed="rId12"/>
                    <a:stretch>
                      <a:fillRect/>
                    </a:stretch>
                  </pic:blipFill>
                  <pic:spPr>
                    <a:xfrm>
                      <a:off x="0" y="0"/>
                      <a:ext cx="5264150" cy="3721100"/>
                    </a:xfrm>
                    <a:prstGeom prst="rect">
                      <a:avLst/>
                    </a:prstGeom>
                  </pic:spPr>
                </pic:pic>
              </a:graphicData>
            </a:graphic>
          </wp:inline>
        </w:drawing>
      </w:r>
    </w:p>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640"/>
        <w:jc w:val="left"/>
        <w:textAlignment w:val="auto"/>
        <w:rPr>
          <w:rFonts w:hint="eastAsia" w:ascii="黑体" w:hAnsi="黑体" w:eastAsia="黑体" w:cs="宋体"/>
          <w:color w:val="00000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ascii="仿宋_GB2312" w:hAnsi="仿宋_GB2312" w:eastAsia="仿宋_GB2312" w:cs="仿宋_GB2312"/>
          <w:sz w:val="32"/>
          <w:szCs w:val="32"/>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lNDM4MTlkYzZjMTIxNTAyMmNhNjViMjBiOTQ1MjMifQ=="/>
  </w:docVars>
  <w:rsids>
    <w:rsidRoot w:val="33A756F0"/>
    <w:rsid w:val="00844285"/>
    <w:rsid w:val="010D4924"/>
    <w:rsid w:val="02270A79"/>
    <w:rsid w:val="02585D19"/>
    <w:rsid w:val="04770389"/>
    <w:rsid w:val="04C8240E"/>
    <w:rsid w:val="04E90B5B"/>
    <w:rsid w:val="053C6E40"/>
    <w:rsid w:val="06D25D4A"/>
    <w:rsid w:val="07FE66CB"/>
    <w:rsid w:val="0888740E"/>
    <w:rsid w:val="09D73678"/>
    <w:rsid w:val="09DE4A06"/>
    <w:rsid w:val="0A0759A4"/>
    <w:rsid w:val="0AD21E28"/>
    <w:rsid w:val="0AFE1C4E"/>
    <w:rsid w:val="0BAB4DBC"/>
    <w:rsid w:val="0C032502"/>
    <w:rsid w:val="0CA912FB"/>
    <w:rsid w:val="0E3E049D"/>
    <w:rsid w:val="0E8160BF"/>
    <w:rsid w:val="10304705"/>
    <w:rsid w:val="108E7269"/>
    <w:rsid w:val="1092654A"/>
    <w:rsid w:val="11551A52"/>
    <w:rsid w:val="120D67CA"/>
    <w:rsid w:val="123416DD"/>
    <w:rsid w:val="131B16CA"/>
    <w:rsid w:val="13923F34"/>
    <w:rsid w:val="14213E6D"/>
    <w:rsid w:val="144357A0"/>
    <w:rsid w:val="169959F8"/>
    <w:rsid w:val="188449CB"/>
    <w:rsid w:val="18F8365F"/>
    <w:rsid w:val="19575BDE"/>
    <w:rsid w:val="19A25F67"/>
    <w:rsid w:val="19DD3E99"/>
    <w:rsid w:val="1A9058A9"/>
    <w:rsid w:val="1AA54E72"/>
    <w:rsid w:val="1B214753"/>
    <w:rsid w:val="1C4421D8"/>
    <w:rsid w:val="1C71170A"/>
    <w:rsid w:val="1DC87348"/>
    <w:rsid w:val="20231EFD"/>
    <w:rsid w:val="22321E78"/>
    <w:rsid w:val="224C6CA7"/>
    <w:rsid w:val="22D36C7A"/>
    <w:rsid w:val="26355556"/>
    <w:rsid w:val="26EF7F1D"/>
    <w:rsid w:val="27475541"/>
    <w:rsid w:val="28060F58"/>
    <w:rsid w:val="28CC03F4"/>
    <w:rsid w:val="291E07E9"/>
    <w:rsid w:val="2A5C7555"/>
    <w:rsid w:val="2B5E1A06"/>
    <w:rsid w:val="2CA13945"/>
    <w:rsid w:val="2DB06BE4"/>
    <w:rsid w:val="2DF26E09"/>
    <w:rsid w:val="2E304F81"/>
    <w:rsid w:val="2FB43990"/>
    <w:rsid w:val="30291746"/>
    <w:rsid w:val="31C30B2A"/>
    <w:rsid w:val="32394CB7"/>
    <w:rsid w:val="329222AD"/>
    <w:rsid w:val="3310712F"/>
    <w:rsid w:val="33A756F0"/>
    <w:rsid w:val="33CF7CF4"/>
    <w:rsid w:val="34440133"/>
    <w:rsid w:val="34AC334C"/>
    <w:rsid w:val="34D7721D"/>
    <w:rsid w:val="36162066"/>
    <w:rsid w:val="363C258A"/>
    <w:rsid w:val="36A90322"/>
    <w:rsid w:val="37046FAB"/>
    <w:rsid w:val="372779A5"/>
    <w:rsid w:val="37E4117E"/>
    <w:rsid w:val="3805433B"/>
    <w:rsid w:val="387D12CB"/>
    <w:rsid w:val="38995E18"/>
    <w:rsid w:val="39B61D9C"/>
    <w:rsid w:val="3AF03C3B"/>
    <w:rsid w:val="3BEE4E3E"/>
    <w:rsid w:val="3C1F3826"/>
    <w:rsid w:val="3C73429F"/>
    <w:rsid w:val="40491ED2"/>
    <w:rsid w:val="40787E7C"/>
    <w:rsid w:val="425C413F"/>
    <w:rsid w:val="43525542"/>
    <w:rsid w:val="43BE55B3"/>
    <w:rsid w:val="43C006FD"/>
    <w:rsid w:val="4407632C"/>
    <w:rsid w:val="44306262"/>
    <w:rsid w:val="443F7636"/>
    <w:rsid w:val="45CA0992"/>
    <w:rsid w:val="46380A1F"/>
    <w:rsid w:val="465B470D"/>
    <w:rsid w:val="467674AD"/>
    <w:rsid w:val="473C332E"/>
    <w:rsid w:val="47930F99"/>
    <w:rsid w:val="48912668"/>
    <w:rsid w:val="49221512"/>
    <w:rsid w:val="4A9C3B5F"/>
    <w:rsid w:val="4BA803F5"/>
    <w:rsid w:val="4CA3154C"/>
    <w:rsid w:val="4D77741A"/>
    <w:rsid w:val="4DDA487B"/>
    <w:rsid w:val="4F5440CA"/>
    <w:rsid w:val="4F9C3DCC"/>
    <w:rsid w:val="51F3118E"/>
    <w:rsid w:val="526112FD"/>
    <w:rsid w:val="531E71EE"/>
    <w:rsid w:val="56364999"/>
    <w:rsid w:val="56541DF0"/>
    <w:rsid w:val="56E87CD1"/>
    <w:rsid w:val="56F97D56"/>
    <w:rsid w:val="57832B85"/>
    <w:rsid w:val="583F79EB"/>
    <w:rsid w:val="58737694"/>
    <w:rsid w:val="58B77EC9"/>
    <w:rsid w:val="59B32A1C"/>
    <w:rsid w:val="5A4130F1"/>
    <w:rsid w:val="5AA05D5C"/>
    <w:rsid w:val="5B9D23A2"/>
    <w:rsid w:val="5CAC7619"/>
    <w:rsid w:val="5D235B2D"/>
    <w:rsid w:val="607F7BD5"/>
    <w:rsid w:val="611D6D37"/>
    <w:rsid w:val="63CB65D6"/>
    <w:rsid w:val="64E57B6C"/>
    <w:rsid w:val="66B656B7"/>
    <w:rsid w:val="6953779A"/>
    <w:rsid w:val="6A6643CB"/>
    <w:rsid w:val="6C5850C7"/>
    <w:rsid w:val="6D14771B"/>
    <w:rsid w:val="6D284473"/>
    <w:rsid w:val="6E3D27C7"/>
    <w:rsid w:val="71632544"/>
    <w:rsid w:val="74606BF5"/>
    <w:rsid w:val="75C13CDD"/>
    <w:rsid w:val="763B6429"/>
    <w:rsid w:val="76D812DE"/>
    <w:rsid w:val="77C70706"/>
    <w:rsid w:val="78080B9A"/>
    <w:rsid w:val="78245D6C"/>
    <w:rsid w:val="78C20CD1"/>
    <w:rsid w:val="795310F0"/>
    <w:rsid w:val="7A635363"/>
    <w:rsid w:val="7A8405C6"/>
    <w:rsid w:val="7BE81FC4"/>
    <w:rsid w:val="7DA10BE1"/>
    <w:rsid w:val="7DBE0144"/>
    <w:rsid w:val="7E476B1A"/>
    <w:rsid w:val="7E4C0D9E"/>
    <w:rsid w:val="7EC02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Company>
  <Pages>4</Pages>
  <Words>996</Words>
  <Characters>1363</Characters>
  <Lines>0</Lines>
  <Paragraphs>0</Paragraphs>
  <TotalTime>29</TotalTime>
  <ScaleCrop>false</ScaleCrop>
  <LinksUpToDate>false</LinksUpToDate>
  <CharactersWithSpaces>1366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2022-02-17T00:30:00Z</dcterms:created>
  <dc:creator>Administrator</dc:creator>
  <cp:lastModifiedBy>WPS_1601975018</cp:lastModifiedBy>
  <cp:lastPrinted>2022-06-10T06:30:00Z</cp:lastPrinted>
  <dcterms:modified xsi:type="dcterms:W3CDTF">2022-06-11T02:24:30Z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43CFB8ECEC8B43B29B4C9AFB97972953</vt:lpwstr>
  </property>
</Properties>
</file>